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08" w:rsidRPr="00570008" w:rsidRDefault="00570008" w:rsidP="00570008">
      <w:pPr>
        <w:pStyle w:val="AralkYok"/>
        <w:rPr>
          <w:lang w:eastAsia="tr-TR"/>
        </w:rPr>
      </w:pPr>
      <w:r w:rsidRPr="00570008">
        <w:rPr>
          <w:lang w:eastAsia="tr-TR"/>
        </w:rPr>
        <w:t>Temel Bilirkişi Eğitimleri</w:t>
      </w:r>
    </w:p>
    <w:p w:rsidR="00570008" w:rsidRDefault="00570008" w:rsidP="00570008">
      <w:pPr>
        <w:pStyle w:val="AralkYok"/>
        <w:rPr>
          <w:rFonts w:ascii="inherit" w:hAnsi="inherit"/>
          <w:color w:val="222222"/>
          <w:bdr w:val="none" w:sz="0" w:space="0" w:color="auto" w:frame="1"/>
          <w:lang w:eastAsia="tr-TR"/>
        </w:rPr>
      </w:pPr>
      <w:r w:rsidRPr="00570008">
        <w:rPr>
          <w:rFonts w:ascii="inherit" w:hAnsi="inherit"/>
          <w:b/>
          <w:bCs/>
          <w:color w:val="800080"/>
          <w:bdr w:val="none" w:sz="0" w:space="0" w:color="auto" w:frame="1"/>
          <w:lang w:eastAsia="tr-TR"/>
        </w:rPr>
        <w:t>Programın Açıklaması:</w:t>
      </w:r>
      <w:r w:rsidRPr="00570008">
        <w:rPr>
          <w:rFonts w:ascii="inherit" w:hAnsi="inherit"/>
          <w:b/>
          <w:bCs/>
          <w:color w:val="800080"/>
          <w:bdr w:val="none" w:sz="0" w:space="0" w:color="auto" w:frame="1"/>
          <w:lang w:eastAsia="tr-TR"/>
        </w:rPr>
        <w:br/>
      </w:r>
      <w:r w:rsidRPr="00570008">
        <w:rPr>
          <w:rFonts w:ascii="inherit" w:hAnsi="inherit"/>
          <w:color w:val="222222"/>
          <w:bdr w:val="none" w:sz="0" w:space="0" w:color="auto" w:frame="1"/>
          <w:lang w:eastAsia="tr-TR"/>
        </w:rPr>
        <w:t>6754 sayılı Bilirkişilik Kanunu kapsamında, </w:t>
      </w: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 xml:space="preserve">"Bilirkişilik Yönetmeliği" 03/08/2017 tarihinde Resmi </w:t>
      </w:r>
      <w:proofErr w:type="spellStart"/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Gazete'de</w:t>
      </w:r>
      <w:proofErr w:type="spellEnd"/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 xml:space="preserve"> yayınlanan Yönetmeliğe göre </w:t>
      </w:r>
      <w:r w:rsidRPr="00570008">
        <w:rPr>
          <w:rFonts w:ascii="inherit" w:hAnsi="inherit"/>
          <w:color w:val="222222"/>
          <w:bdr w:val="none" w:sz="0" w:space="0" w:color="auto" w:frame="1"/>
          <w:lang w:eastAsia="tr-TR"/>
        </w:rPr>
        <w:t>her türlü bilirkişilik</w:t>
      </w: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 faaliyetinin yapılabilmesi için “BİLİRKİŞİLİK TEMEL EĞİTİMİ” almaları ve sertifika sahibi olmaları zorunluluğu getirilmiştir. </w:t>
      </w: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br/>
        <w:t>5 Yıllık mesleki kıdeme sahip kişilerin katılabileceği eğitimler sonrasında almış oldukları Sertifika ile diğer şartları uygun ise </w:t>
      </w:r>
      <w:r w:rsidRPr="00570008">
        <w:rPr>
          <w:rFonts w:ascii="inherit" w:hAnsi="inherit"/>
          <w:color w:val="222222"/>
          <w:bdr w:val="none" w:sz="0" w:space="0" w:color="auto" w:frame="1"/>
          <w:lang w:eastAsia="tr-TR"/>
        </w:rPr>
        <w:t>Adli ve İdari Yargı Komisyon Başkanlıklarının ilanında belirtilen tarihlerde bilirkişilik yapmak üzere başvuruda bulunabileceklerdir. </w:t>
      </w:r>
    </w:p>
    <w:p w:rsidR="000B392C" w:rsidRPr="00570008" w:rsidRDefault="000B392C" w:rsidP="00570008">
      <w:pPr>
        <w:pStyle w:val="AralkYok"/>
        <w:rPr>
          <w:color w:val="707070"/>
          <w:sz w:val="20"/>
          <w:szCs w:val="20"/>
          <w:lang w:eastAsia="tr-TR"/>
        </w:rPr>
      </w:pPr>
      <w:bookmarkStart w:id="0" w:name="_GoBack"/>
      <w:bookmarkEnd w:id="0"/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inherit" w:hAnsi="inherit"/>
          <w:b/>
          <w:bCs/>
          <w:color w:val="800080"/>
          <w:bdr w:val="none" w:sz="0" w:space="0" w:color="auto" w:frame="1"/>
          <w:lang w:eastAsia="tr-TR"/>
        </w:rPr>
        <w:t>BİLİRKİŞİLİK TEMEL EĞİTİMİ MÜFREDATI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BÖLÜM 1: YARGILAMA HUKUKUNA İLİŞKİN İLKELER ve İSPAT HUKUKUNA İLİŞKİN TEMEL KAVRAMLAR (150 DAKİKA)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Giriş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Türk yargı teşkilatı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Yargısal faaliyet içinde yer alan süreler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Yargılama hukukuna ilişkin temel hak ve ilkeler (50 Dakika)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İspat hukukuna ilişkin temel kavramlar (50 Dakika)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BÖLÜM 2: BİLİRKİŞİNİN NİTELİKLERİ, ÖDEVLERİ VE ETİK İLKELER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Bilirkişinin Nitelikleri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Bilirkişiliğe Başvuru, Sicil ve Listeye Kayıt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Bilirkişinin Yetkileri ve Ödevleri ile Etik İlkeler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Bilirkişinin Denetimi ve Sorumluluğu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BÖLÜM 3: BİLİRKİŞİ İNCELEMESİ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Bilirkişi İncelemesine Başvuru ve İnceleme Konusu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Bilirkişinin Görevlendirilmesi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Bilirkişi İncelemesinin Yapılması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BÖLÜM 4: RAPOR YAZIMI USUL VE ESASLARI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Oy ve Görüşün Sunulması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Bilirkişi Raporunun Teslim Edilmesi ve Değerlendirilmesi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BÖLÜM 5: UYGULAMA 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 xml:space="preserve">* UYAP Bilirkişi Bilgi Sistemi ve UYAP Bilirkişi </w:t>
      </w:r>
      <w:proofErr w:type="spellStart"/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Portalının</w:t>
      </w:r>
      <w:proofErr w:type="spellEnd"/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 xml:space="preserve"> Tanıtılması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Örnek Olayların Sunulması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İncelemelerin Gerçekleştirilmesi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Sunu ve Geri Bildirim Yapılması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Genel Değerlendirme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* Eğitim Değerlendirme Anketi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b/>
          <w:bCs/>
          <w:color w:val="800080"/>
          <w:bdr w:val="none" w:sz="0" w:space="0" w:color="auto" w:frame="1"/>
          <w:lang w:eastAsia="tr-TR"/>
        </w:rPr>
        <w:t>Eğitimin Süresi:</w:t>
      </w: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br/>
        <w:t>24 Saat (18 Saat Teorik + 6 Saat Uygulama)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inherit" w:hAnsi="inherit"/>
          <w:b/>
          <w:bCs/>
          <w:color w:val="800080"/>
          <w:bdr w:val="none" w:sz="0" w:space="0" w:color="auto" w:frame="1"/>
          <w:lang w:eastAsia="tr-TR"/>
        </w:rPr>
        <w:t>Eğitim Tarihleri:</w:t>
      </w:r>
      <w:r w:rsidRPr="00570008">
        <w:rPr>
          <w:rFonts w:ascii="inherit" w:hAnsi="inherit"/>
          <w:b/>
          <w:bCs/>
          <w:color w:val="800080"/>
          <w:sz w:val="20"/>
          <w:szCs w:val="20"/>
          <w:bdr w:val="none" w:sz="0" w:space="0" w:color="auto" w:frame="1"/>
          <w:lang w:eastAsia="tr-TR"/>
        </w:rPr>
        <w:br/>
      </w:r>
      <w:r w:rsidRPr="00570008"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>Florya Yerleşke:  30 Haziran-01-07-08 Temmuz 2018 / 10:00-16:00 (H.S.)</w:t>
      </w:r>
      <w:r w:rsidRPr="00570008"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br/>
      </w:r>
      <w:r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>Beşiktaş</w:t>
      </w:r>
      <w:r w:rsidRPr="00570008"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> Yerleşke</w:t>
      </w:r>
      <w:r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 xml:space="preserve">: 23-24-25-26 </w:t>
      </w:r>
      <w:r w:rsidRPr="00570008"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 xml:space="preserve">Temmuz 2018 / </w:t>
      </w:r>
      <w:r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 xml:space="preserve">18.00-21.00 </w:t>
      </w:r>
      <w:r w:rsidRPr="00570008"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 xml:space="preserve"> (</w:t>
      </w:r>
      <w:proofErr w:type="spellStart"/>
      <w:r w:rsidRPr="00570008"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>H.</w:t>
      </w:r>
      <w:r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>İçi</w:t>
      </w:r>
      <w:proofErr w:type="spellEnd"/>
      <w:r w:rsidRPr="00570008"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>)</w:t>
      </w:r>
      <w:r>
        <w:rPr>
          <w:rFonts w:ascii="Calibri" w:hAnsi="Calibri"/>
          <w:b/>
          <w:bCs/>
          <w:color w:val="222222"/>
          <w:bdr w:val="none" w:sz="0" w:space="0" w:color="auto" w:frame="1"/>
          <w:lang w:eastAsia="tr-TR"/>
        </w:rPr>
        <w:t xml:space="preserve"> 28 Temmuz Cumartesi 09.00-16.00</w:t>
      </w:r>
    </w:p>
    <w:p w:rsidR="00570008" w:rsidRDefault="00570008" w:rsidP="00570008">
      <w:pPr>
        <w:pStyle w:val="AralkYok"/>
        <w:rPr>
          <w:rFonts w:ascii="Calibri" w:hAnsi="Calibri" w:cs="Times New Roman"/>
          <w:b/>
          <w:bCs/>
          <w:color w:val="800080"/>
          <w:bdr w:val="none" w:sz="0" w:space="0" w:color="auto" w:frame="1"/>
          <w:shd w:val="clear" w:color="auto" w:fill="FFFFFF"/>
          <w:lang w:eastAsia="tr-TR"/>
        </w:rPr>
      </w:pPr>
    </w:p>
    <w:p w:rsidR="00570008" w:rsidRDefault="00570008" w:rsidP="00570008">
      <w:pPr>
        <w:pStyle w:val="AralkYok"/>
        <w:rPr>
          <w:rFonts w:ascii="inherit" w:hAnsi="inherit" w:cs="Times New Roman"/>
          <w:b/>
          <w:bCs/>
          <w:color w:val="222222"/>
          <w:bdr w:val="none" w:sz="0" w:space="0" w:color="auto" w:frame="1"/>
          <w:shd w:val="clear" w:color="auto" w:fill="FFFFFF"/>
          <w:lang w:eastAsia="tr-TR"/>
        </w:rPr>
      </w:pPr>
      <w:r w:rsidRPr="00570008">
        <w:rPr>
          <w:rFonts w:ascii="Calibri" w:hAnsi="Calibri" w:cs="Times New Roman"/>
          <w:b/>
          <w:bCs/>
          <w:color w:val="800080"/>
          <w:bdr w:val="none" w:sz="0" w:space="0" w:color="auto" w:frame="1"/>
          <w:shd w:val="clear" w:color="auto" w:fill="FFFFFF"/>
          <w:lang w:eastAsia="tr-TR"/>
        </w:rPr>
        <w:t>Eğitimin Ücreti:</w:t>
      </w:r>
      <w:r w:rsidRPr="00570008">
        <w:rPr>
          <w:rFonts w:ascii="Calibri" w:hAnsi="Calibri" w:cs="Times New Roman"/>
          <w:color w:val="222222"/>
          <w:bdr w:val="none" w:sz="0" w:space="0" w:color="auto" w:frame="1"/>
          <w:shd w:val="clear" w:color="auto" w:fill="FFFFFF"/>
          <w:lang w:eastAsia="tr-TR"/>
        </w:rPr>
        <w:t> </w:t>
      </w:r>
      <w:r w:rsidRPr="00570008">
        <w:rPr>
          <w:rFonts w:ascii="inherit" w:hAnsi="inherit" w:cs="Times New Roman"/>
          <w:b/>
          <w:bCs/>
          <w:color w:val="222222"/>
          <w:bdr w:val="none" w:sz="0" w:space="0" w:color="auto" w:frame="1"/>
          <w:shd w:val="clear" w:color="auto" w:fill="FFFFFF"/>
          <w:lang w:eastAsia="tr-TR"/>
        </w:rPr>
        <w:t>1.200 TL</w:t>
      </w:r>
    </w:p>
    <w:p w:rsidR="00570008" w:rsidRDefault="00570008" w:rsidP="00570008">
      <w:pPr>
        <w:pStyle w:val="AralkYok"/>
        <w:rPr>
          <w:rFonts w:ascii="Calibri" w:hAnsi="Calibri" w:cs="Times New Roman"/>
          <w:b/>
          <w:bCs/>
          <w:color w:val="800080"/>
          <w:bdr w:val="none" w:sz="0" w:space="0" w:color="auto" w:frame="1"/>
          <w:shd w:val="clear" w:color="auto" w:fill="FFFFFF"/>
          <w:lang w:eastAsia="tr-TR"/>
        </w:rPr>
      </w:pPr>
      <w:r w:rsidRPr="00570008">
        <w:rPr>
          <w:rFonts w:ascii="Calibri" w:hAnsi="Calibri" w:cs="Times New Roman"/>
          <w:color w:val="222222"/>
          <w:bdr w:val="none" w:sz="0" w:space="0" w:color="auto" w:frame="1"/>
          <w:shd w:val="clear" w:color="auto" w:fill="FFFFFF"/>
          <w:lang w:eastAsia="tr-TR"/>
        </w:rPr>
        <w:br/>
      </w:r>
      <w:r w:rsidR="00540490">
        <w:rPr>
          <w:rFonts w:ascii="Calibri" w:hAnsi="Calibri" w:cs="Times New Roman"/>
          <w:b/>
          <w:bCs/>
          <w:color w:val="800080"/>
          <w:bdr w:val="none" w:sz="0" w:space="0" w:color="auto" w:frame="1"/>
          <w:shd w:val="clear" w:color="auto" w:fill="FFFFFF"/>
          <w:lang w:eastAsia="tr-TR"/>
        </w:rPr>
        <w:t xml:space="preserve">İstanbul </w:t>
      </w:r>
      <w:r>
        <w:rPr>
          <w:rFonts w:ascii="Calibri" w:hAnsi="Calibri" w:cs="Times New Roman"/>
          <w:b/>
          <w:bCs/>
          <w:color w:val="800080"/>
          <w:bdr w:val="none" w:sz="0" w:space="0" w:color="auto" w:frame="1"/>
          <w:shd w:val="clear" w:color="auto" w:fill="FFFFFF"/>
          <w:lang w:eastAsia="tr-TR"/>
        </w:rPr>
        <w:t>Gümrük Müşavirleri Derneği Üyelerine Özel:</w:t>
      </w:r>
    </w:p>
    <w:p w:rsidR="00570008" w:rsidRDefault="00570008" w:rsidP="00570008">
      <w:pPr>
        <w:pStyle w:val="ListeParagraf"/>
        <w:ind w:hanging="360"/>
        <w:rPr>
          <w:b/>
          <w:bCs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b/>
          <w:bCs/>
        </w:rPr>
        <w:t>24 Kişilik sınıf oluşturulduğunda 750 TL</w:t>
      </w:r>
    </w:p>
    <w:p w:rsidR="00570008" w:rsidRDefault="00570008" w:rsidP="00570008">
      <w:pPr>
        <w:pStyle w:val="ListeParagraf"/>
        <w:ind w:hanging="360"/>
        <w:rPr>
          <w:b/>
          <w:bCs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b/>
          <w:bCs/>
        </w:rPr>
        <w:t>Bireysel Başvurularda ise 850 TL olacaktır.</w:t>
      </w:r>
    </w:p>
    <w:p w:rsidR="00570008" w:rsidRPr="00570008" w:rsidRDefault="00570008" w:rsidP="00570008">
      <w:pPr>
        <w:pStyle w:val="AralkYok"/>
        <w:rPr>
          <w:rFonts w:ascii="inherit" w:hAnsi="inherit" w:cs="Times New Roman"/>
          <w:color w:val="707070"/>
          <w:bdr w:val="none" w:sz="0" w:space="0" w:color="auto" w:frame="1"/>
          <w:shd w:val="clear" w:color="auto" w:fill="FFFFFF"/>
          <w:lang w:eastAsia="tr-TR"/>
        </w:rPr>
      </w:pPr>
      <w:r w:rsidRPr="00570008">
        <w:rPr>
          <w:rFonts w:ascii="Calibri" w:hAnsi="Calibri" w:cs="Times New Roman"/>
          <w:color w:val="222222"/>
          <w:bdr w:val="none" w:sz="0" w:space="0" w:color="auto" w:frame="1"/>
          <w:shd w:val="clear" w:color="auto" w:fill="FFFFFF"/>
          <w:lang w:eastAsia="tr-TR"/>
        </w:rPr>
        <w:lastRenderedPageBreak/>
        <w:br/>
      </w:r>
    </w:p>
    <w:p w:rsidR="00570008" w:rsidRDefault="00570008" w:rsidP="00570008">
      <w:pPr>
        <w:pStyle w:val="AralkYok"/>
        <w:rPr>
          <w:rFonts w:ascii="inherit" w:hAnsi="inherit"/>
          <w:b/>
          <w:bCs/>
          <w:color w:val="800080"/>
          <w:bdr w:val="none" w:sz="0" w:space="0" w:color="auto" w:frame="1"/>
          <w:lang w:eastAsia="tr-TR"/>
        </w:rPr>
      </w:pP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inherit" w:hAnsi="inherit"/>
          <w:b/>
          <w:bCs/>
          <w:color w:val="800080"/>
          <w:bdr w:val="none" w:sz="0" w:space="0" w:color="auto" w:frame="1"/>
          <w:lang w:eastAsia="tr-TR"/>
        </w:rPr>
        <w:t>Program Sonunda Verilen Belgeler:</w:t>
      </w:r>
      <w:r w:rsidRPr="00570008">
        <w:rPr>
          <w:rFonts w:ascii="Calibri" w:hAnsi="Calibri"/>
          <w:color w:val="800080"/>
          <w:bdr w:val="none" w:sz="0" w:space="0" w:color="auto" w:frame="1"/>
          <w:lang w:eastAsia="tr-TR"/>
        </w:rPr>
        <w:br/>
      </w: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Eğitimi tamamlayan kursiyerlere eğitimi tamamladıklarına dair Adalet Bakanlığı Bilirkişilik Daire Başkanlığı Yetkili Eğitim Kurumu olarak İstanbul Aydın Üniversitesi Rektörlük Katılım Belgesi verilecektir.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b/>
          <w:bCs/>
          <w:color w:val="800080"/>
          <w:bdr w:val="none" w:sz="0" w:space="0" w:color="auto" w:frame="1"/>
          <w:lang w:eastAsia="tr-TR"/>
        </w:rPr>
        <w:t>İletişim:</w:t>
      </w:r>
    </w:p>
    <w:p w:rsidR="00570008" w:rsidRDefault="00570008" w:rsidP="00570008">
      <w:pPr>
        <w:pStyle w:val="AralkYok"/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</w:pPr>
      <w:r w:rsidRPr="00570008"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  <w:t xml:space="preserve">İstanbul İletişim: 0.535.032 34 </w:t>
      </w:r>
      <w:r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  <w:t xml:space="preserve">82 Mihrican Özdinçer-Sena </w:t>
      </w:r>
      <w:proofErr w:type="spellStart"/>
      <w:r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  <w:t>Mirzanlı</w:t>
      </w:r>
      <w:proofErr w:type="spellEnd"/>
    </w:p>
    <w:p w:rsidR="00570008" w:rsidRDefault="00570008" w:rsidP="00570008">
      <w:pPr>
        <w:pStyle w:val="AralkYok"/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</w:pPr>
      <w:hyperlink r:id="rId4" w:history="1">
        <w:r w:rsidRPr="00491AD8">
          <w:rPr>
            <w:rStyle w:val="Kpr"/>
            <w:rFonts w:ascii="Calibri" w:hAnsi="Calibri"/>
            <w:b/>
            <w:bCs/>
            <w:bdr w:val="none" w:sz="0" w:space="0" w:color="auto" w:frame="1"/>
            <w:lang w:eastAsia="tr-TR"/>
          </w:rPr>
          <w:t>mihricanozdincer@aydin.edu.tr</w:t>
        </w:r>
      </w:hyperlink>
      <w:r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  <w:t xml:space="preserve">   </w:t>
      </w:r>
      <w:hyperlink r:id="rId5" w:history="1">
        <w:r w:rsidRPr="00491AD8">
          <w:rPr>
            <w:rStyle w:val="Kpr"/>
            <w:rFonts w:ascii="Calibri" w:hAnsi="Calibri"/>
            <w:b/>
            <w:bCs/>
            <w:bdr w:val="none" w:sz="0" w:space="0" w:color="auto" w:frame="1"/>
            <w:lang w:eastAsia="tr-TR"/>
          </w:rPr>
          <w:t>senamirzanli@aydin.edu.tr</w:t>
        </w:r>
      </w:hyperlink>
    </w:p>
    <w:p w:rsidR="00570008" w:rsidRDefault="00570008" w:rsidP="00570008">
      <w:pPr>
        <w:pStyle w:val="AralkYok"/>
        <w:rPr>
          <w:rFonts w:ascii="inherit" w:hAnsi="inherit"/>
          <w:b/>
          <w:bCs/>
          <w:color w:val="800080"/>
          <w:bdr w:val="none" w:sz="0" w:space="0" w:color="auto" w:frame="1"/>
          <w:lang w:eastAsia="tr-TR"/>
        </w:rPr>
      </w:pPr>
      <w:r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  <w:t xml:space="preserve">44401428 </w:t>
      </w:r>
      <w:proofErr w:type="gramStart"/>
      <w:r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  <w:t>Dahili</w:t>
      </w:r>
      <w:proofErr w:type="gramEnd"/>
      <w:r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  <w:t xml:space="preserve"> 65006-65003</w:t>
      </w:r>
      <w:r w:rsidRPr="00570008">
        <w:rPr>
          <w:rFonts w:ascii="Calibri" w:hAnsi="Calibri"/>
          <w:b/>
          <w:bCs/>
          <w:color w:val="444444"/>
          <w:bdr w:val="none" w:sz="0" w:space="0" w:color="auto" w:frame="1"/>
          <w:lang w:eastAsia="tr-TR"/>
        </w:rPr>
        <w:br/>
      </w:r>
      <w:r w:rsidRPr="00570008">
        <w:rPr>
          <w:rFonts w:ascii="inherit" w:hAnsi="inherit"/>
          <w:color w:val="222222"/>
          <w:bdr w:val="none" w:sz="0" w:space="0" w:color="auto" w:frame="1"/>
          <w:lang w:eastAsia="tr-TR"/>
        </w:rPr>
        <w:br/>
      </w:r>
      <w:r w:rsidRPr="00570008">
        <w:rPr>
          <w:rFonts w:ascii="inherit" w:hAnsi="inherit"/>
          <w:b/>
          <w:bCs/>
          <w:color w:val="800080"/>
          <w:bdr w:val="none" w:sz="0" w:space="0" w:color="auto" w:frame="1"/>
          <w:lang w:eastAsia="tr-TR"/>
        </w:rPr>
        <w:t>Ödeme Seçenekleri:</w:t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Calibri" w:hAnsi="Calibri"/>
          <w:color w:val="800080"/>
          <w:bdr w:val="none" w:sz="0" w:space="0" w:color="auto" w:frame="1"/>
          <w:lang w:eastAsia="tr-TR"/>
        </w:rPr>
        <w:br/>
      </w: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 xml:space="preserve">* Yerleşkelerimizden Nakit </w:t>
      </w:r>
      <w:proofErr w:type="gramStart"/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>yada</w:t>
      </w:r>
      <w:proofErr w:type="gramEnd"/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t xml:space="preserve"> Kredi Kartı,</w:t>
      </w: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br/>
        <w:t>* Banka EFT yada Havale,</w:t>
      </w:r>
      <w:r w:rsidRPr="00570008">
        <w:rPr>
          <w:rFonts w:ascii="Calibri" w:hAnsi="Calibri"/>
          <w:color w:val="222222"/>
          <w:bdr w:val="none" w:sz="0" w:space="0" w:color="auto" w:frame="1"/>
          <w:lang w:eastAsia="tr-TR"/>
        </w:rPr>
        <w:br/>
      </w:r>
    </w:p>
    <w:p w:rsidR="00570008" w:rsidRPr="00570008" w:rsidRDefault="00570008" w:rsidP="00570008">
      <w:pPr>
        <w:pStyle w:val="AralkYok"/>
        <w:rPr>
          <w:color w:val="707070"/>
          <w:sz w:val="20"/>
          <w:szCs w:val="20"/>
          <w:lang w:eastAsia="tr-TR"/>
        </w:rPr>
      </w:pPr>
      <w:r w:rsidRPr="00570008">
        <w:rPr>
          <w:rFonts w:ascii="inherit" w:hAnsi="inherit"/>
          <w:b/>
          <w:bCs/>
          <w:color w:val="005594"/>
          <w:bdr w:val="none" w:sz="0" w:space="0" w:color="auto" w:frame="1"/>
          <w:lang w:eastAsia="tr-TR"/>
        </w:rPr>
        <w:t>   Banka Hesap Numaramız:</w:t>
      </w:r>
      <w:r w:rsidRPr="00570008">
        <w:rPr>
          <w:rFonts w:ascii="Calibri" w:hAnsi="Calibri"/>
          <w:color w:val="005594"/>
          <w:bdr w:val="none" w:sz="0" w:space="0" w:color="auto" w:frame="1"/>
          <w:lang w:eastAsia="tr-TR"/>
        </w:rPr>
        <w:br/>
        <w:t>   </w:t>
      </w:r>
      <w:r w:rsidRPr="00570008">
        <w:rPr>
          <w:rFonts w:ascii="Calibri" w:hAnsi="Calibri"/>
          <w:color w:val="0072C6"/>
          <w:bdr w:val="none" w:sz="0" w:space="0" w:color="auto" w:frame="1"/>
          <w:lang w:eastAsia="tr-TR"/>
        </w:rPr>
        <w:t>DENİZBANK</w:t>
      </w:r>
      <w:r w:rsidRPr="00570008">
        <w:rPr>
          <w:rFonts w:ascii="Calibri" w:hAnsi="Calibri"/>
          <w:color w:val="0072C6"/>
          <w:bdr w:val="none" w:sz="0" w:space="0" w:color="auto" w:frame="1"/>
          <w:lang w:eastAsia="tr-TR"/>
        </w:rPr>
        <w:br/>
        <w:t>   Karaköy Ticari Merkez Şubesi</w:t>
      </w:r>
      <w:r w:rsidRPr="00570008">
        <w:rPr>
          <w:rFonts w:ascii="Calibri" w:hAnsi="Calibri"/>
          <w:color w:val="0072C6"/>
          <w:bdr w:val="none" w:sz="0" w:space="0" w:color="auto" w:frame="1"/>
          <w:lang w:eastAsia="tr-TR"/>
        </w:rPr>
        <w:br/>
        <w:t>   Hesap No: 4060-1771107-373</w:t>
      </w:r>
      <w:r w:rsidRPr="00570008">
        <w:rPr>
          <w:rFonts w:ascii="Calibri" w:hAnsi="Calibri"/>
          <w:color w:val="0072C6"/>
          <w:bdr w:val="none" w:sz="0" w:space="0" w:color="auto" w:frame="1"/>
          <w:lang w:eastAsia="tr-TR"/>
        </w:rPr>
        <w:br/>
        <w:t xml:space="preserve">   </w:t>
      </w:r>
      <w:proofErr w:type="gramStart"/>
      <w:r w:rsidRPr="00570008">
        <w:rPr>
          <w:rFonts w:ascii="Calibri" w:hAnsi="Calibri"/>
          <w:color w:val="0072C6"/>
          <w:bdr w:val="none" w:sz="0" w:space="0" w:color="auto" w:frame="1"/>
          <w:lang w:eastAsia="tr-TR"/>
        </w:rPr>
        <w:t>IBAN : TR32</w:t>
      </w:r>
      <w:proofErr w:type="gramEnd"/>
      <w:r w:rsidRPr="00570008">
        <w:rPr>
          <w:rFonts w:ascii="Calibri" w:hAnsi="Calibri"/>
          <w:color w:val="0072C6"/>
          <w:bdr w:val="none" w:sz="0" w:space="0" w:color="auto" w:frame="1"/>
          <w:lang w:eastAsia="tr-TR"/>
        </w:rPr>
        <w:t xml:space="preserve"> 0013 4000 0017 7110 7001 10</w:t>
      </w:r>
    </w:p>
    <w:p w:rsidR="00C70B98" w:rsidRDefault="000B392C" w:rsidP="00570008">
      <w:pPr>
        <w:pStyle w:val="AralkYok"/>
      </w:pPr>
    </w:p>
    <w:sectPr w:rsidR="00C7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08"/>
    <w:rsid w:val="000B392C"/>
    <w:rsid w:val="00540490"/>
    <w:rsid w:val="00570008"/>
    <w:rsid w:val="00A0200B"/>
    <w:rsid w:val="00E5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AECB"/>
  <w15:chartTrackingRefBased/>
  <w15:docId w15:val="{50859135-F212-4C7C-B07A-112441FA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008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ull-left">
    <w:name w:val="pull-left"/>
    <w:basedOn w:val="Normal"/>
    <w:rsid w:val="005700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00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s-rtefontface-5">
    <w:name w:val="ms-rtefontface-5"/>
    <w:basedOn w:val="VarsaylanParagrafYazTipi"/>
    <w:rsid w:val="00570008"/>
  </w:style>
  <w:style w:type="character" w:customStyle="1" w:styleId="ms-rtethemeforecolor-2-5">
    <w:name w:val="ms-rtethemeforecolor-2-5"/>
    <w:basedOn w:val="VarsaylanParagrafYazTipi"/>
    <w:rsid w:val="00570008"/>
  </w:style>
  <w:style w:type="character" w:customStyle="1" w:styleId="ms-rteforecolor-10">
    <w:name w:val="ms-rteforecolor-10"/>
    <w:basedOn w:val="VarsaylanParagrafYazTipi"/>
    <w:rsid w:val="00570008"/>
  </w:style>
  <w:style w:type="character" w:customStyle="1" w:styleId="st">
    <w:name w:val="st"/>
    <w:basedOn w:val="VarsaylanParagrafYazTipi"/>
    <w:rsid w:val="00570008"/>
  </w:style>
  <w:style w:type="character" w:styleId="Gl">
    <w:name w:val="Strong"/>
    <w:basedOn w:val="VarsaylanParagrafYazTipi"/>
    <w:uiPriority w:val="22"/>
    <w:qFormat/>
    <w:rsid w:val="00570008"/>
    <w:rPr>
      <w:b/>
      <w:bCs/>
    </w:rPr>
  </w:style>
  <w:style w:type="character" w:customStyle="1" w:styleId="ms-rtethemeforecolor-2-0">
    <w:name w:val="ms-rtethemeforecolor-2-0"/>
    <w:basedOn w:val="VarsaylanParagrafYazTipi"/>
    <w:rsid w:val="00570008"/>
  </w:style>
  <w:style w:type="character" w:customStyle="1" w:styleId="ms-rtethemeforecolor-5-0">
    <w:name w:val="ms-rtethemeforecolor-5-0"/>
    <w:basedOn w:val="VarsaylanParagrafYazTipi"/>
    <w:rsid w:val="00570008"/>
  </w:style>
  <w:style w:type="paragraph" w:styleId="AralkYok">
    <w:name w:val="No Spacing"/>
    <w:uiPriority w:val="1"/>
    <w:qFormat/>
    <w:rsid w:val="00570008"/>
    <w:pPr>
      <w:spacing w:after="0" w:line="240" w:lineRule="auto"/>
    </w:pPr>
  </w:style>
  <w:style w:type="paragraph" w:styleId="ListeParagraf">
    <w:name w:val="List Paragraph"/>
    <w:basedOn w:val="Normal"/>
    <w:uiPriority w:val="99"/>
    <w:qFormat/>
    <w:rsid w:val="005700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70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577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9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769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namirzanli@aydin.edu.tr" TargetMode="External"/><Relationship Id="rId4" Type="http://schemas.openxmlformats.org/officeDocument/2006/relationships/hyperlink" Target="mailto:mihricanozdincer@aydi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Mihrican ÖZDİNÇER</dc:creator>
  <cp:keywords/>
  <dc:description/>
  <cp:lastModifiedBy>Mihrican ÖZDİNÇER</cp:lastModifiedBy>
  <cp:revision>4</cp:revision>
  <dcterms:created xsi:type="dcterms:W3CDTF">2018-06-12T08:43:00Z</dcterms:created>
  <dcterms:modified xsi:type="dcterms:W3CDTF">2018-06-12T08:51:00Z</dcterms:modified>
</cp:coreProperties>
</file>